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rFonts w:ascii="Arial" w:hAnsi="Arial" w:eastAsia="Calibri" w:cs="Arial"/>
          <w:b/>
          <w:b/>
          <w:bCs/>
          <w:color w:val="003892"/>
          <w:sz w:val="32"/>
          <w:szCs w:val="32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 w:eastAsia="Calibri" w:cs="Arial"/>
          <w:b/>
          <w:b/>
          <w:bCs/>
          <w:color w:val="003892"/>
          <w:sz w:val="32"/>
          <w:szCs w:val="32"/>
        </w:rPr>
      </w:pPr>
      <w:r>
        <w:rPr>
          <w:rFonts w:eastAsia="Calibri" w:cs="Arial" w:ascii="Arial" w:hAnsi="Arial"/>
          <w:b/>
          <w:bCs/>
          <w:color w:val="003892"/>
          <w:sz w:val="32"/>
          <w:szCs w:val="32"/>
        </w:rPr>
        <w:t>Historia i teraźniejszość. Liceum ogólnokształcące i technikum. Zakres podstawowy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F09120"/>
          <w:sz w:val="28"/>
          <w:szCs w:val="28"/>
        </w:rPr>
      </w:pPr>
      <w:r>
        <w:rPr>
          <w:rFonts w:cs="Arial" w:ascii="Arial" w:hAnsi="Arial"/>
          <w:b/>
          <w:bCs/>
          <w:color w:val="F09120"/>
          <w:sz w:val="28"/>
          <w:szCs w:val="28"/>
        </w:rPr>
        <w:t>Część 2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F09120"/>
          <w:sz w:val="28"/>
          <w:szCs w:val="28"/>
        </w:rPr>
      </w:pPr>
      <w:r>
        <w:rPr>
          <w:rFonts w:cs="Arial" w:ascii="Arial" w:hAnsi="Arial"/>
          <w:b/>
          <w:bCs/>
          <w:color w:val="F09120"/>
          <w:sz w:val="28"/>
          <w:szCs w:val="28"/>
        </w:rPr>
      </w:r>
    </w:p>
    <w:p>
      <w:pPr>
        <w:pStyle w:val="NoSpacing"/>
        <w:jc w:val="center"/>
        <w:rPr>
          <w:rFonts w:ascii="Arial" w:hAnsi="Arial" w:eastAsia="Calibri" w:cs="Arial"/>
          <w:b/>
          <w:b/>
          <w:bCs/>
          <w:color w:val="003892"/>
          <w:sz w:val="24"/>
          <w:szCs w:val="24"/>
        </w:rPr>
      </w:pPr>
      <w:r>
        <w:rPr>
          <w:rFonts w:eastAsia="Calibri" w:cs="Arial" w:ascii="Arial" w:hAnsi="Arial"/>
          <w:b/>
          <w:bCs/>
          <w:color w:val="003892"/>
          <w:sz w:val="24"/>
          <w:szCs w:val="24"/>
        </w:rPr>
        <w:t>Wymagania edukacyjne na poszczególne oceny</w:t>
      </w:r>
      <w:r>
        <w:rPr>
          <w:rStyle w:val="Zakotwiczenieprzypisudolnego"/>
          <w:rFonts w:eastAsia="Calibri" w:cs="Arial" w:ascii="Arial" w:hAnsi="Arial"/>
          <w:b/>
          <w:bCs/>
          <w:color w:val="003892"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2518"/>
        <w:gridCol w:w="2519"/>
        <w:gridCol w:w="2518"/>
        <w:gridCol w:w="2518"/>
        <w:gridCol w:w="2515"/>
      </w:tblGrid>
      <w:tr>
        <w:trPr>
          <w:trHeight w:val="1402" w:hRule="atLeast"/>
        </w:trPr>
        <w:tc>
          <w:tcPr>
            <w:tcW w:w="1719" w:type="dxa"/>
            <w:tcBorders/>
            <w:shd w:color="auto" w:fill="F7C28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bookmarkStart w:id="0" w:name="_Hlk112881395"/>
            <w:bookmarkEnd w:id="0"/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Temat</w:t>
            </w:r>
          </w:p>
        </w:tc>
        <w:tc>
          <w:tcPr>
            <w:tcW w:w="2518" w:type="dxa"/>
            <w:tcBorders/>
            <w:shd w:color="auto" w:fill="F7C28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Wymagania konieczne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ocena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dopuszczająca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2519" w:type="dxa"/>
            <w:tcBorders/>
            <w:shd w:color="auto" w:fill="F7C28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Wymagania podstawowe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– ocena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dostateczna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Uczeń wie i potrafi to, co na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ocenę dopuszczającą, </w:t>
            </w:r>
            <w:r>
              <w:rPr>
                <w:rFonts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>oraz:</w:t>
            </w:r>
          </w:p>
        </w:tc>
        <w:tc>
          <w:tcPr>
            <w:tcW w:w="2518" w:type="dxa"/>
            <w:tcBorders/>
            <w:shd w:color="auto" w:fill="F7C28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Wymagania rozszerzające 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– ocena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dobra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Uczeń wie i potrafi to, co na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ocenę dostateczną, </w:t>
            </w:r>
            <w:r>
              <w:rPr>
                <w:rFonts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>oraz:</w:t>
            </w:r>
          </w:p>
        </w:tc>
        <w:tc>
          <w:tcPr>
            <w:tcW w:w="2518" w:type="dxa"/>
            <w:tcBorders/>
            <w:shd w:color="auto" w:fill="F7C28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Wymagania dopełniające 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– ocena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bardzo dobra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Uczeń wie i potrafi to, co na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ocenę dobrą,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>oraz:</w:t>
            </w:r>
          </w:p>
        </w:tc>
        <w:tc>
          <w:tcPr>
            <w:tcW w:w="2515" w:type="dxa"/>
            <w:tcBorders/>
            <w:shd w:color="auto" w:fill="F7C28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pl-PL" w:eastAsia="en-US" w:bidi="ar-SA"/>
              </w:rPr>
              <w:t>Wymagania wyczerpujące </w:t>
            </w:r>
            <w:r>
              <w:rPr>
                <w:rFonts w:eastAsia="Calibri" w:cs="Calibri"/>
                <w:spacing w:val="-1"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br/>
              <w:t xml:space="preserve">ocena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celująca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Uczeń wie i potrafi to, co na ocenę bardzo dobrą, </w:t>
            </w:r>
            <w:r>
              <w:rPr>
                <w:rFonts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>oraz:</w:t>
            </w:r>
          </w:p>
        </w:tc>
      </w:tr>
      <w:tr>
        <w:trPr>
          <w:trHeight w:val="397" w:hRule="atLeast"/>
        </w:trPr>
        <w:tc>
          <w:tcPr>
            <w:tcW w:w="14307" w:type="dxa"/>
            <w:gridSpan w:val="6"/>
            <w:tcBorders/>
            <w:shd w:color="auto" w:fill="8DB3E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80" w:hanging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bookmarkStart w:id="1" w:name="_Hlk112881395"/>
            <w:bookmarkStart w:id="2" w:name="_Hlk134670561"/>
            <w:bookmarkEnd w:id="1"/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I. ŚWIAT I POLSKA W LATACH 1970–1980</w:t>
            </w:r>
            <w:bookmarkEnd w:id="2"/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1. Sytuacja na świecie w latach 70. XX w.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zna genezę i skutki osłabienia pozycji Stanów Zjednoczonych na świecie na rzecz obozu komunistycznego;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wskazuje przyczyny interwencji amerykańskiej w Wietnamie;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wskazuje strony konfliktu w wojnie Jom Kipur;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pojęcie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Vietcong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przebieg konfliktu w Wietnamie;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omawia przebieg rewolucji islamskiej w Iranie;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omawia przyczyny kryzysu naftowego;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doktryna powstrzymywania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efekt domina w Azji Południowo-</w:t>
              <w:br/>
              <w:t>-Wschodniej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afera Watergate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Czerwoni Khmerzy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ajatollah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rewolucja islamska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kryzys naftowy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embargo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wojna zastępcza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kim była wymieniona postać: Ho Chi Minh</w:t>
            </w:r>
          </w:p>
        </w:tc>
        <w:tc>
          <w:tcPr>
            <w:tcW w:w="251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przedstawia reakcje społeczeństwa amerykańskiego na interwencję wojskową w Wietnamie;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skutki rewolucji islamskiej w Iranie;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dlaczego wojnę w Wietnamie i wojnę Jom Kipur można nazwać wojnami zastępczymi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ocenia rolę mediów podczas wojny w Wietnamie;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ocenia skutki wojny w Wietnamie dla USA;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przyczyny i skutki osłabienia pozycji Stanów Zjednoczonych na świecie na rzecz obozu komunistycznego w 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kim były wymienione postacie, oraz omawia ich historyczną rolę: Pol Pot, Ruhollah Chomejni;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konsekwencje wzrostu wpływów komunistycznych na świecie w latach 70. XX w. (w tym ludobójczą politykę Czerwonych Khmerów w Kambodży)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wpływ: wystąpień społecznych w USA na decyzję o dymisji prezydenta Nixona po ujawnieniu afery Watergate, wystąpień społecznych w Iranie na ucieczkę szacha Mohammada Rezy Pahlawiego;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wyszukuje informacje na temat dyktatury Czerwonych Khmerów;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pojęcie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impeachment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2. Wzrost wpływów ZSRS w Azji, Afryce i Ameryce Łacińskiej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terminy: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KGB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Specnaz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państwa w Azji, Afryce i Ameryce Łacińskiej, w których ZSRS angażował się politycznie i / lub militarnie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pojęcie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doradcy wojskowi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 (sowieccy, kubańscy)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przedstawia przyczyny sowieckiego zaangażowania w Ameryce Łacińskiej, Azji i Afryce;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zna sowiecką strategię realizowaną w polityce zagranicznej przez ekipę Leonida Breżniewa w latach 70. XX w.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metody działania ZSRS w Azji, Afryce i Ameryce Łacińskiej;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korzystając z mapy w podręczniku, omawia sposoby realizacji sowieckiej polityki ekspansji w latach 70 XX w. w Ameryce Łacińskiej, Azji i Afryce;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pacing w:val="-4"/>
                <w:sz w:val="20"/>
                <w:szCs w:val="20"/>
              </w:rPr>
            </w:pPr>
            <w:r>
              <w:rPr>
                <w:rFonts w:eastAsia="Calibri" w:cs="Times New Roman"/>
                <w:spacing w:val="-4"/>
                <w:kern w:val="0"/>
                <w:sz w:val="20"/>
                <w:szCs w:val="20"/>
                <w:lang w:val="pl-PL" w:eastAsia="en-US" w:bidi="ar-SA"/>
              </w:rPr>
              <w:t>omawia sowiecką strategię realizowaną w polityce zagranicznej przez ekipę Leonida Breżniewa w latach 70. XX 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wojna somalijsko-etiopska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Sandinowski Front Wyzwolenia Narodowego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wojna domowa w Angoli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mudżahedini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 Ludowy Ruch Wyzwolenia Angoli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Pathet Lao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charakteryzuje rolę KGB w polityce zewnętrznej ZSRS za czasów Breżniewa;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 rolę wojsk kubańskich i wietnamskich w sowieckiej polityce;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konsekwencje wzrostu wpływów komunistycznych na świecie w latach 70. XX w. (uwzględnia kwestię kubańskich „doradców” w Afryce)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zbiera i prezentuje informacje na temat roli Ernesto „Che” Guevary w popkulturze;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samodzielnie zbiera informację na temat tzw. doktryny Breżniewa – wyjaśnia jej założenia i określa, które z działań sowieckich w latach 60. i 70. XX w. można uznać za realizację tej koncepcji (w odpowiedzi odwołuje się też do informacji dotyczących stłumienia Praskiej Wiosny), uzasadnia swoją odpowiedź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3. Polityka odprężenia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zna wydarzenia (i ich daty roczne) stanowiące kolejne etapy w procesie odprężenia w stosunkach USA–ZSRS: zawarcie zbiorowego układu o zakazie prób z bronią jądrową (1963 r.), podpisanie układu o nierozprzestrzenianiu broni atomowej (1968 r.), podpisanie sowiecko-</w:t>
              <w:br/>
              <w:t xml:space="preserve">-amerykańskiego układ SALT 1 o ograniczeniu zbrojeń strategicznych (1972 r.); podpisanie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Aktu końcowego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Konferencji Bezpieczeństwa i Współpracy w Europie (1975 r.); zawarcie amerykańsko-sowieckiego układu SALT 2 (1979 r.);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rozwija skróty: KBWE, OBWE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przyczyny, dla których USA i ZSRS zdecydowały się rozpocząć politykę odprężenia;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omawia najważniejsze etapy zawierania porozumień rozbrojeniowych USA–ZSRS;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wymienia przyczyny, dla których USA odeszły od polityki odprężenia;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pojęcie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dyplomacja pingpongowa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wiem, czym zajmowały / zajmują się organizacje: KBWE, OBWE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na czym polegała polityka odprężenia (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détente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) w relacjach międzynarodowych w 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jakie znaczenie dla pokoju i odprężenia na świecie miały postanowienia KBWE (Helsinki, 1975 r.);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okoliczności zawarcia porozumienia z Camp David w 1978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kim były wymienione postacie, oraz omawia ich historyczną rolę: Richard Nixon, Henry Kissinger, Jimmy Carter, Ronald Reagan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przełomowe znaczenie unormowania relacji USA–ChRL na początku lat 70. XX 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treść tzw. pięciu koszyków konferencji helsińskiej;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znaczenie porozumienia z Camp David z 1978 r.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 perspektywy USA i ZSRS ocenia, czy polityka odprężenia na świecie w latach 70. XX w. była sukcesem czy klęską 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5.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Państwa niemieckie – współistnienie i stosunek do nazistowskiego dziedzictwa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zna i rozumie założenia doktryny Hallsteina i Ostpolitik kanclerza Willy’ego Brandta;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na podstawie tabeli w podręczniku wymienia najważniejsze wydarzenia związane z kwestią niemieckich reparacji / odszkodowań wojennych na rzecz Polski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sytuację społeczno-polityczną w Niemczech Zachodnich po ustąpieniu kanclerza Konrada Adenauera;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przyczyny niezadowolenia społecznego w RFN w latach 60.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warunki życia społeczeństwa NRD;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restytucja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rewindykacja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Stasi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genezę wystąpień młodzieży w RFN;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na czym polegało przełomowe znaczenie Ostpolitik kanclerza Willy’ego Brandta;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porównuje standard życia społeczeństwa polskiego i wschodnioniemieckiego;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dlaczego Polska nie odzyskała wielu dzieł sztuki zrabowanych przez Niemców w czasie II wojny światowej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analizuje, z czego mogły wynikać różnice w standardzie życia społeczeństwa NRD i PRL, mimo że oba kraje znajdowały się w sferze wpływów ZSRS;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sposób rozliczenia się Niemiec z dziedzictwem rządów nazistowskich (podaje przykłady pozytywne i negatywne: działalność Centrali Badania Zbrodni Narodowosocjalistycznych w Ludwigsburgu, kariera Heinza Reinefartha, sprawa reparacji i restytucji zagrabionych w Polsce dzieł sztuki);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niepociągnięcie do odpowiedzialności karnej wielu niemieckich zbrodniarzy wojennych;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przygotowuje prezentację na temat zbrodniczej działalności Heinza Reinefartha lub Iwana Demianiuka 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jak polskie władze i społeczeństwo w kolejnych latach po 1945 r. odnosiły się do kwestii rozliczenia Niemiec ze zbrodni z okresu II wojny światowej (w swojej odpowiedzi wskazuje różne przykłady reakcji społecznych i działań władz);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analizuje, w jakim stopniu działalność Centrali Badania Zbrodni Narodowosocjalistycznych realizowała zasadę denazyfikacji (w uzasadnieniu odpowiedzi podaje przykłady działań prowadzonych przez tę instytucję)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5. Polityka wschodnia Stolicy Apostolskiej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dyplomacja papieska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Stolica Apostolska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Sekretariat Stanu Stolicy Apostolskiej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pontyfikat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kim były wymienione postacie e, oraz podaje pełnione przez nie funkcje: Jan XXIII, Paweł VI, Jan Paweł I, Jan Paweł II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wskazuje główne kierunki działania dyplomacji papieskiej po II wojnie światowej;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stosunek papiestwa do ZSRS i państw bloku wschodniego po II wojnie światowej;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obawy władz PRL związane z wyborem Polaka na papieża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dostrzega zmiany w dyplomacji papieskiej i łączy je z rozpoczęciem pontyfikatu Jana Pawła II;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dokonania papieży Pawła VI i Jana Pawła II na rzecz pokoju na świecie;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wyjaśnia znaczenie wyboru kardynała Karola Wojtyły na papieża dla Polski;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porównuje założenia polityki wschodniej Pawła VI i Jana Pawła II (omawia podobieństwa i różnice)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przedstawia rolę prymasa Stefana Wyszyńskiego w dziejach Kościoła katolickiego w Europie Środkowej i Wschodniej;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rolę papiestwa na konferencji helsińskiej;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omawia zapis dotyczący wolności wyznania zawarty w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Akcie końcowym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KBWE;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 znaczenie wyboru kardynała Karola Wojtyły na papieża dla świata;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działania papieża Jana Pawła II podejmowane w celu przeciwstawienia się komunizmowi na świecie;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wkład papieża Jana Pawła II w walkę o ochronę praw człowieka i zmianę ustroju w Polsce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wkład dyplomacji papieskiej w działania zmierzające do zapewnienia pokoju na świecie;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moralną wymowę spotkania Jana Pawła II z Mehmetem Alim Ağcą oraz przebaczenia zamachowcowi przez papieża;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znaczenie podróży (pielgrzymek) papieża Jana Pawła II dla społeczeństw różnych krajów, do których przybywał (odwołuje się do przykładów)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6. </w:t>
            </w: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Chiny i „państwowy kapitalizm”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na mapie wskazuje państwa, z którymi Chiny są w sporach terytorialnych;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zna datę roczną masakry na placu Tian’anmen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okoliczności dojścia do władzy Denga Xiaopinga;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problemy, z którymi borykała się gospodarka chińska przed reformami Denga Xiaopinga;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podaje przyczyny protestów studenckich w Chinach w drugiej połowie lat 80.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socjalizm o chińskiej specyfice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kapitalizm państwowy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dekolektywizacja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reformy Denga Xiaopinga;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genezę problemów, z którymi borykała się gospodarka chińska przed reformami Denga Xiaopinga;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 sens hasła „jeden kraj, dwa systemy”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zmiany zachodzące w Chinach po śmierci Mao Zedonga (rządy Denga Xiaopinga i początek państwowego kapitalizmu);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doktrynę „jeden kraj, dwa systemy”;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wystąpienia studenckie w Chinach w drugiej połowie lat 80.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ocenia, stosunek świata wobec masakry na placu Tian’anmen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skuteczność chińskiego modelu gospodarczego wprowadzonego przez Denga Xiaopinga;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na podstawie samodzielnie zebranych informacji wyjaśnia, na czym polegała specyfika chińskiego socjalizmu;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przygotowuje prezentację na temat łamania praw człowieka we współczesnym Hongkongu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7. Neoliberalizm i nowa prawica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określa najważniejsze cechy gospodarek zachodnich po 1945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wskazuje główne przyczyny ukształtowania się doktryny gospodarczej neoliberalizmu;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podstawowe założenia reaganomiki;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wymienia podstawowe założenia thatcheryzmu;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państwo opiekuńcze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thatcheryzm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 reaganomika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neoliberalizm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zmiany, które zaszły w gospodarkach państw zachodnich w 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podaje przyczyny zmiany założeń polityki USA za prezydentury Ronalda Reagana;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problemy gospodarki brytyjskiej w 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nowa prawica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keynesizm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interwencjonizm państwowy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związek zawodowy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stagflacja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zmiany, które zaszły w gospodarkach państw zachodnich w latach 70. XX 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przyczyny ukształtowania się nurtu nowej prawicy w USA;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omawia założenia polityki Ronalda Reagana;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założenia polityki Margaret Thatcher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przyczyny zmian w gospodarkach państw zachodnich w 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na przykładzie państw zachodnich charakteryzuje różnice programowe między różnymi nurtami politycznymi – socjaldemokratycznym, chadeckim, konserwatywnym i liberalnym (w dziedzinie polityki społecznej i gospodarczej oraz systemu wartości);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główne założenia gospodarki neoliberalnej w latach 80.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 znaczenie zwycięstwa wyborczego Margaret Thatcher w Wielkiej Brytanii (1979 r.) i Ronalda Reagana w Stanach Zjednoczonych (1980 r.) dla polityki wewnętrznej i międzynarodowej tych państw</w:t>
            </w:r>
          </w:p>
          <w:p>
            <w:pPr>
              <w:pStyle w:val="ListParagraph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rozważa, która z doktryn ekonomicznych – keynesizm czy neoliberalizm – bardziej sprzyja rozwojowi gospodarczemu (uzasadnia swoją opinię)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8. Polska Rzeczpospolita Ludowa w czasach Edwarda Gierka (1971–1976)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w którym okresie Edward Gierek pełnił funkcję I sekretarza KC PZPR;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plan 5-letni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(1971–1976),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plenum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Komitet Centralny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Biuro Polityczne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„propaganda sukcesu”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sklepy komercyjne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maluch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(samochód),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czyn partyjny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na podstawie mapy z podręcznika wymienia najważniejsze inwestycje gospodarcze w Polsce epoki Edwarda Gierka;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na czym polegała reorganizacja administracji przeprowadzona w Polsce w 1975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na podstawie mapy z podręcznika wymienia nazwy województw istniejących od 1975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że w 1976 r. dokonano zmian w 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Konstytucji PRL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na podstawie podręcznika przedstawia karierę polityczną Edwarda Gierka;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nowelizacja konstytucji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dobrobyt na kredyt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„druga Polska”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Pewex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najważniejsze wydarzenia i zmiany, które zaszły w Polsce w czasach rządów Gierka w dziedzinach: gospodarki, kultury, sportu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wskazuje elementy polityki ekipy Gierka, które miały zapewnić rządzącym poparcie społeczne;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wymienia zmiany wprowadzone w 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Konstytucji PRL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w 1976 r. i wskazuje skutki ich wprowadzenia (protesty społeczne);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wie, kim był Leonid Breżniew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okoliczności objęcia władzy przez Edwarda Gierka;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zmiany wprowadzone w 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Konstytucji PRL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w 1976 r.;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wskazuje rzeczywiste cele reformy administracyjnej z 1975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koncepcję budowy „drugiej Polski” i sposoby wdrażania tego projektu w życie;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wyjaśnia cele i skutki „propagandy sukcesu” w epoce Gierka;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omawia elementy polityki ekipy Gierka, które miały zapewnić rządzącym poparcie społeczne;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przedstawia zmiany wprowadzone w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Konstytucji PRL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w 1976 r. i wyjaśnia przyczyny protestów społecznych związanych z wprowadzeniem tych zmian;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wie, kim były / są wymienione postacie, oraz omawia ich polityczną rolę: Piotr Jaroszewicz, Richard Nixon, Jimmy Carter;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pojęcie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„półkownik”</w:t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 genezę przejęcia władzy w PRL przez Edwarda Gierka;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otwarcie PRL na Zachód dokonane w czasach rządów Edwarda Gierka;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trzy kluczowe reformy Edwarda Gierka;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ocenia skutki nowelizacji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Konstytucji PRL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w 1976 r. dla PZPR i polskiego społeczeństwa;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elementy polityki ekipy Gierka, które miały zapewnić rządzącym poparcie społeczne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postawę posła Stanisława Stommy w 1976 r. (rozważa, czy jego postępowanie jest przykładem obywatelskiego nieposłuszeństwa);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przygotowuje i moderuje klasową debatę na temat: Edward Gierek – funkcjonariusz sytemu komunistycznego czy nowator, który otworzył Polskę na Zachód?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9. Kryzys gospodarczy i społeczny w Polsce w drugiej połowie lat 70. XX w.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wymienia wydarzenia, które doprowadziły do protestów robotniczych w 1976 r.;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podaje przyczyny protestów robotniczych w 1976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Czerwiec 1976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„ścieżka zdrowia”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ZOMO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reglamentacja towarów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kartki żywnościowe</w:t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sytuację gospodarczą Polski w drugiej połowie lat 70. XX 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przyczyny kryzysu gospodarczego w PRL w 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przebieg wystąpień społecznych w 1976 r.;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pułapka zadłużenia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„manewr gospodarczy”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przypomina znaczenie pojęcia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gospodarka niedoboru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i odnosi je do Polski w drugiej połowie lat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porównuje rekcję władz (w tym zastosowane represje) na wystąpienia społeczne w 1970 i 1976 r.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standard życia społeczeństwa polskiego w warunkach gospodarki niedoboru, posługuje się przykładami;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ocenia skutki wystąpień społecznych z 1976 r.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na podstawie zebranych informacji przygotowuje prezentację na temat: Czy uczestnicy wystąpień społecznych z 1976 r. doczekali się zadośćuczynienia za krzywdy i represje, które ich dotknęły?;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odnajduje relacje osób pamiętających Czerwiec 1976 i prezentuje je w klasie;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przygotowuje pytania do ankiety, która mogłaby posłużyć do zbadania, jak Polacy pamiętają dzisiaj epokę Gierka</w:t>
            </w:r>
          </w:p>
          <w:p>
            <w:pPr>
              <w:pStyle w:val="ListParagraph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10. Opozycja demokratyczna w Polsce </w:t>
              <w:br/>
              <w:t>1976–1980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Style w:val="Styl1Znak"/>
                <w:kern w:val="0"/>
                <w:sz w:val="22"/>
                <w:szCs w:val="22"/>
                <w:lang w:val="pl-PL" w:eastAsia="en-US" w:bidi="ar-SA"/>
              </w:rPr>
              <w:t>wymienia formy pomocy dla represjonowanych uczestników protestów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robotniczych z 1976 r. i ich rodzin;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podaje nazwy organizacji opozycji demokratycznej w Polsce działające w 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zna i wyjaśnia pojęcia oraz rozwija skróty: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opozycja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opozycja demokratyczna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Komitet obrony Robotników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/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Komitet Samoobrony Społecznej KOR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Studenckie Komitety Solidarności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SKS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Wolne Związki Zawodowe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WZZ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Ruch Obrony Praw Człowieka i Obywatela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ROPCiO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Konfederacja Polski Niepodległej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KPN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Towarzystwo Kursów Naukowych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(TKN),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drugi obieg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latający uniwersytet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tajny współpracownik</w:t>
            </w:r>
          </w:p>
          <w:p>
            <w:pPr>
              <w:pStyle w:val="ListParagraph"/>
              <w:widowControl/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formy pomocy dla represjonowanych uczestników protestów robotniczych z 1976 r. i ich rodzin prowadzone przez KOR;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główne organizacje opozycji demokratycznej działające w Polsce w latach 70. XX w.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wyjaśnia znaczenie utworzenia KOR;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omawia główne formy działania opozycji demokratycznej w Polsce w latach 70. XX w.</w:t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charakteryzuje rolę Kościoła katolickiego jako instytucji wspierającej działanie opozycji demokratycznej;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wyjaśnia, dlaczego opozycja demokratyczna prowadziła działalność w różnych sferach życia społecznego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przygotowuje prezentację o wybranym członku KOR;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przygotowuje prezentację na temat wybranej organizacji opozycyjnej działającej w Polsce w latach 70. XX w.;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zbiera informacje i przygotowuje krótką prezentację o działaniu opozycji demokratycznej w latach 70. XX w. swojej miejscowości / swoim regionie </w:t>
            </w:r>
          </w:p>
        </w:tc>
      </w:tr>
      <w:tr>
        <w:trPr>
          <w:trHeight w:val="397" w:hRule="atLeast"/>
        </w:trPr>
        <w:tc>
          <w:tcPr>
            <w:tcW w:w="14307" w:type="dxa"/>
            <w:gridSpan w:val="6"/>
            <w:tcBorders/>
            <w:shd w:color="auto" w:fill="8DB3E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80" w:hanging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bookmarkStart w:id="3" w:name="_Hlk134671074"/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II. ŚWIAT I POLSKA W LATACH 1980–1991</w:t>
            </w:r>
            <w:bookmarkEnd w:id="3"/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11. Powstanie Solidarności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najważniejsze problemy gospodarcze Polski na przełomie lat 70. I 80.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postulaty strajkujących robotników z sierpnia 1980 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Lech Wałęsa, Tadeusz Mazowiecki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postulaty strajkujących robotników z lipca i sierpnia 1980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dzieli je na polityczne i ekonomiczne;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postanowienia porozumień sierpniowych;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Międzyzakładowy Komitet Strajkowy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porozumienia sierpniowe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Anna Walentynowicz, Bronisław Geremek, Mieczysław Jagielski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sytuację gospodarczą w Polsce w 1980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rolę Międzyzakładowych Komitetów Strajkowych w rozmowach strajkujących robotników z władzami;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konsekwencje zawarcia porozumień sierpniowych;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„przerwy w pracy”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karnawał „Solidarności”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są wymienione postacie, oraz przedstawia ich polityczną rolę: Bogdan Borusewicz, Andrzej Gwiazda, Bogdan Lis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które z postulatów robotniczych z sierpnia 1980 r. były możliwe do spełnienia;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na czym polegała różnica między strajkami z sierpnia 1980 r. a wcześniejszymi wystąpieniami robotników;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reakcję władz PZPR na porozumienia sierpniowe;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przedstawia znaczenie </w:t>
            </w:r>
            <w:r>
              <w:rPr>
                <w:i/>
                <w:iCs/>
                <w:kern w:val="0"/>
                <w:lang w:val="pl-PL" w:eastAsia="en-US" w:bidi="ar-SA"/>
              </w:rPr>
              <w:t>Posłania I Krajowego Zjazdu Delegatów NSZZ „Solidarność” do ludzi pracy Europy Wschodniej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Niezależne Zrzeszenie Studentów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Jan Olszewski, Lech Kaczyński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które z postulatów robotniczych z sierpnia 1980 r. były najbardziej niewygodne dla władzy i uzasadnia swoje stanowisko;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zbiera informacje o działalności NSZZ „Solidarność” lub NSZZ „Solidarność” RI, lub NZS w swoim regionie;</w:t>
            </w:r>
          </w:p>
          <w:p>
            <w:pPr>
              <w:pStyle w:val="Styl1"/>
              <w:widowControl/>
              <w:numPr>
                <w:ilvl w:val="0"/>
                <w:numId w:val="0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przedstawia reakcję władz państw bloku wschodniego na </w:t>
            </w:r>
            <w:r>
              <w:rPr>
                <w:i/>
                <w:iCs/>
                <w:kern w:val="0"/>
                <w:lang w:val="pl-PL" w:eastAsia="en-US" w:bidi="ar-SA"/>
              </w:rPr>
              <w:t>Posłanie I Krajowego Zjazdu Delegatów NSZZ „Solidarność” do ludzi pracy Europy Wschodniej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Władysław Siła-Nowicki, Marian Jurczyk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12. Stan wojenny w Polsce i jego następstwa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wprowadzenia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ograniczenia nałożone na obywateli w czasie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represje władz wobec społeczeństwa po wprowadzeniu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Wojskowa Rada Ocalenia Narodowego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internowanie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godzina milicyjna</w:t>
            </w:r>
            <w:r>
              <w:rPr>
                <w:kern w:val="0"/>
                <w:lang w:val="pl-PL" w:eastAsia="en-US" w:bidi="ar-SA"/>
              </w:rPr>
              <w:t xml:space="preserve">,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gen. Wojciech Jaruzelski, i przedstawia jego historyczną rolę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ograniczenia nałożone na obywateli w czasie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represje władz wobec społeczeństwa po wprowadzeniu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formy oporu społeczeństwa po wprowadzeniu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jaką rolę odgrywała militaryzacja niektórych zakładów pracy i środków masowego przekazu;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Patriotyczny Ruch Odrodzenia Narodowego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Tymczasowa Komisja Koordynacyjna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pacyfikacja kopalni „Wujek”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gen. Czesław Kiszczak, Jan Dobraczyński, Jerzy Popiełuszko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stosunek PZPR do „Solidarności”;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formy oporu społeczeństwa po wprowadzeniu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przestawia rolę i działania Kościoła po wprowadzeniu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reakcję państw zachodnich na wprowadzenie stanu wojennego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prowokacja bydgoska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„Solidarność Walcząca”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płk Ryszard Kukliński, Józef kard. Glemp, Władysław Frasyniuk, Kornel Morawiecki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legalność i zasadność wprowadzenia stanu wojennego;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znaczenie powstania nielegalnych organizacji, w tym struktur „Solidarności” dla umacniania oporu społeczeństwa;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reakcję ZSRS na wprowadzenie stanu wojennego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pomoc społeczeństw zachodnich i środowisk emigracyjnych dla Polaków w czasie stanu wojennego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władze PRL, wprowadzając stan wojenny, osiągnęły zamierzone cele i przywróciły pełną kontrolę nad społeczeństwem;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zbiera informacje, jak wyglądały realia stanu wojennego w jego regionie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13. Kryzys w ZSRS i państwach bloku wschodniego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kryzys gospodarczy w ZSRS i 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kryzys społeczny w ZSRS;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bumelant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amnestia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indoktrynacja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kryzysu gospodarczego w ZSRS i 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kryzys społeczny w 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relacje między ZSRS a Stanami Zjednoczonymi;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„imperium zła”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„gwiezdne wojny”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wyścigu zbrojeń na początku lat 80.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organizacje opozycyjne w 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postawy społeczeństw państw komunistycznych wobec władzy;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dysydent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azyl polityczny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Karta 77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Konfederacja Polski Niepodległej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Aleksander Sołżenicyn, Andriej Sacharow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politykę władz ZSRS wobec ludzi, którzy się z nimi nie zgadzali;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zasięg wpływów organizacji opozycyjnych w społeczeństwach państw komunistycznych i wyjaśnia jego przyczyny;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Jurij Andropow, Konstantin Czernienko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zbiera informacje o kontaktach polskich organizacji opozycyjnych z organizacjami opozycyjnymi w 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wpływy organizacji opozycyjnych na społeczeństwo w Polsce i innych krajach bloku wschodniego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14. </w:t>
            </w:r>
            <w:r>
              <w:rPr>
                <w:rFonts w:eastAsia="Calibri" w:cs="Calibri" w:cstheme="minorHAnsi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Pierestrojka </w:t>
            </w: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w ZSRS i jej konsekwencje w krajach bloku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wschodniego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reformy wewnętrzne przeprowadzone w ZSRS przez Michaiła Gorbaczowa;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relacje między ZSRS a Stanami Zjednoczonymi za rządów Michaiła Gorbaczowa;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pierestrojka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głasnost’</w:t>
            </w:r>
            <w:r>
              <w:rPr>
                <w:kern w:val="0"/>
                <w:lang w:val="pl-PL" w:eastAsia="en-US" w:bidi="ar-SA"/>
              </w:rPr>
              <w:t xml:space="preserve">;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Michaił Gorbaczow, Ronald Reagan, George Bush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na czym polegały reformy wewnętrzne wprowadzane przez Michaiła Gorbaczowa;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konsekwencje katastrofy elektrowni atomowej w Czarnobylu;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uwłaszczenie nomenklatury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wpływ reform w ZSRS na sytuację w 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politykę zagraniczną Michaiła Gorbaczowa;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zmian relacji między ZSRS a Stanami Zjednoczonymi za rządów Michaiła Gorbaczowa;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Mieczysław Rakowski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efekty reform wewnętrznych wprowadzonych przez Michaiła Gorbaczowa;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wpływ rządów Michaiła Gorbaczowa na pozycję ZSRS w świecie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Michaił Gorbaczow zrealizował cele swojej polityki i uzasadnia swoje stanowisko;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relacje między państwami bloku wschodniego a ZSRS za rządów Michaiła Gorbaczowa i porównuje je z relacjami za rządów Leonida Breżniewa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15. Przełomowy rok 1989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problemy gospodarcze Polski w II poł. lat 80.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postanowienia Okrągłego Stołu;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Okrągły Stół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pluralizm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wybory kontraktowe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/są wymienione postacie, oraz przedstawia ich polityczną rolę: Lech Wałęsa, gen. Wojciech Jaruzelski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problemy gospodarcze Polski w II poł. lat 80.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działania podejmowane przez władze, aby przezwyciężyć trudności gospodarcze;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postanowienia Okrągłego Stołu;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Ogólnopolskie Porozumienie Związków Zawodowych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Komitet Obywatelski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Alfred Miodowicz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próby przezwyciężenia trudności gospodarczych podejmowane przez władze;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genezę Okrągłego Stołu;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realizację postanowień Okrągłego Stołu;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gruba kreska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desygnacja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Obywatelski Klub Parlamentarny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Tadeusz Mazowiecki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reakcje społeczeństwa na postanowienia Okrągłego Stołu;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zakres zmian ustrojowych przeprowadzonych na mocy postanowień Okrągłego Stołu;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co spowodowało, że obóz solidarnościowy zdecydował się na utworzenie rządu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wyjaśnia, dlaczego określenie </w:t>
            </w:r>
            <w:r>
              <w:rPr>
                <w:i/>
                <w:iCs/>
                <w:kern w:val="0"/>
                <w:lang w:val="pl-PL" w:eastAsia="en-US" w:bidi="ar-SA"/>
              </w:rPr>
              <w:t>gruba kreska</w:t>
            </w:r>
            <w:r>
              <w:rPr>
                <w:kern w:val="0"/>
                <w:lang w:val="pl-PL" w:eastAsia="en-US" w:bidi="ar-SA"/>
              </w:rPr>
              <w:t xml:space="preserve"> jest różnie rozumiane;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niektóre organizacje opozycyjne krytycznie odnosiły się do ustaleń Okrągłego Stołu i ich realizacji;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zbiera informacje na temat wyborów 4 czerwca w jego regionie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16. Jesień Narodów w Europie Środkowo-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-Wschodniej i rozpad ZSRS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etapy przejmowania władzy przez opozycję w Czechosłowacji, na Węgrzech i w Bułgarii;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etapy procesu jednoczenia Niemiec;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Karta 77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aksamitna rewolucja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Fidesz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Trójkątny Stół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Okrągły Stół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Václav Havel, Erich Honecker, Helmut Kohl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przejmowania władzy przez opozycję w Czechosłowacji, na Węgrzech i w Bułgarii;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rozpadu ZSRS i Jugosławii;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etapy procesu rozpadu ZSRS i Jugosławii;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pucz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czystki etniczne</w:t>
            </w:r>
            <w:r>
              <w:rPr>
                <w:kern w:val="0"/>
                <w:lang w:val="pl-PL" w:eastAsia="en-US" w:bidi="ar-SA"/>
              </w:rPr>
              <w:t xml:space="preserve">,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Borys Jelcyn, Giennadij Janajew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wzrostu pozycji opozycji w krajach bloku wschodniego;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obalenia Nicolae Ceauşescu w Rumunii;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trudności związane z procesem jednoczenia Niemiec;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rozpadu ZSRS i Jugosławii;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Wspólnota Niepodległych Państw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Nicolae Ceauşescu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genezę powstania Wspólnoty Niepodległych Państw;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procesy przemian ustrojowych w krajach bloku wschodniego, wskazując podobieństwa i różnice między procesami zachodzącymi w poszczególnych państwach;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przyczyny rozpadu ZSRS i Jugosławii;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procesy przemian ustrojowych w krajach bloku wschodniego zostały określone jako Jesień Narodów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upadek muru berlińskiego stał się symbolem upadku komunizmu w Europie Środkowo-Wschodniej;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które czynniki odegrały największą rolę w procesie rozpadu ZSRS i Jugosławii oraz jak to wpłynęło na przebieg tych procesów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17. Transformacja gospodarczo-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-ustrojowa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1989–1990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problemy gospodarcze Polski na początku lat 90.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założenia planu Balcerowicza;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wyniki wyborów prezydenckich w 1990 r.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plan Balcerowicza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jest Leszek Balcerowicz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które problemy wynikały z polityki gospodarczej władz komunistycznych;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społeczne skutki realizacji planu Balcerowicza;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transformacja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bezrobocie strukturalne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hiperinflacja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kuroniówka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Jacek Kuroń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proces prywatyzacji i reprywatyzacji;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problemy i konsekwencje procesu prywatyzacji i reprywatyzacji;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przyczyny i przebieg wyborów prezydenckich w 1990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prywatyzacja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reprywatyzacja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Jarosław Kaczyński, Stanisław Tymiński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proces dekomunizacji, odwołując się do przykładów ze swojego regionu;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konsekwencje polityczne wyborów prezydenckich w 1990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dekomunizacja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przedstawia realizację planu Balcerowicza i jego skutki w swoim regionie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18. Ku społeczeństwu obywatelskiemu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zna definicję społeczeństwa obywatelskiego;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formy aktywności społecznej;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sektory działania organizacji w społeczeństwie obywatelskim;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pojęcia: </w:t>
            </w:r>
            <w:r>
              <w:rPr>
                <w:i/>
                <w:iCs/>
                <w:kern w:val="0"/>
                <w:lang w:val="pl-PL" w:eastAsia="en-US" w:bidi="ar-SA"/>
              </w:rPr>
              <w:t>społeczeństwo obywatelskie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referendum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organizacje pozarządowe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czynniki, które wpływają na rozwój społeczeństwa obywatelskiego;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organizacje pozarządowe i przedstawia ich działania;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dla rozwoju społeczeństwa obywatelskiego największe znaczenie mają organizacje pozarządowe;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społeczeństwo obywatelskie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organizacje pozarządowe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stowarzyszenie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fundacja, organizacje pożytku publicznego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dla rozwoju społeczeństwa obywatelskiego ważne są kapitał społeczny i zaufanie społeczne;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różnice między stowarzyszeniem a fundacją;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organizacje pożytku publicznego;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kapitał społeczny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zaufanie społeczne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obywatelskie nieposłuszeństwo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wolontariat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różne typy organizacji pozarządowych;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działalność organizacji pozarządowych i ich rolę w kształtowaniu społeczeństwa obywatelskiego na przykładach ze swojego regionu;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rolę wolontariatu w kształtowaniu się społeczeństwa obywatelskiego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społeczeństwo polskie jest społeczeństwem obywatelskim i uzasadnia swoje stanowisko;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daje przykłady obywatelskiego nieposłuszeństwa, biorąc pod uwagę klasyczną jego definicję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bookmarkStart w:id="4" w:name="_Hlk134670750"/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19. Sprawiedliwość jako moralny fundament ładu społecznego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zna definicje demokratycznego państwa prawa i sprawiedliwości społecznej;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wymienia różne możliwości rozumienia terminu </w:t>
            </w:r>
            <w:r>
              <w:rPr>
                <w:i/>
                <w:iCs/>
                <w:kern w:val="0"/>
                <w:lang w:val="pl-PL" w:eastAsia="en-US" w:bidi="ar-SA"/>
              </w:rPr>
              <w:t>sprawiedliwość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różne typy sprawiedliwości;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demokratyczne państwo prawa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sprawiedliwość społeczna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różnice pomiędzy różnymi typami sprawiedliwości;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różnice pomiędzy sprawiedliwością rozdzielczą a sprawiedliwością wyrównawczą;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sprawiedliwość rozdzielcza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sprawiedliwość wyrównawcza</w:t>
            </w:r>
          </w:p>
          <w:p>
            <w:pPr>
              <w:pStyle w:val="Styl1"/>
              <w:widowControl/>
              <w:numPr>
                <w:ilvl w:val="0"/>
                <w:numId w:val="0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charakteryzuje rolę sprawiedliwości społecznej w funkcjonowaniu państwa i społeczeństwa;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uzasadnia, że państwo polskie jest demokratycznym państwem prawa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daje przykłady z działań władz państwowych i samorządowych stosowania sprawiedliwości rozdzielczej i sprawiedliwości wyrównawczej</w:t>
            </w:r>
          </w:p>
        </w:tc>
      </w:tr>
      <w:tr>
        <w:trPr>
          <w:trHeight w:val="397" w:hRule="atLeast"/>
        </w:trPr>
        <w:tc>
          <w:tcPr>
            <w:tcW w:w="14307" w:type="dxa"/>
            <w:gridSpan w:val="6"/>
            <w:tcBorders/>
            <w:shd w:color="auto" w:fill="8DB3E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80" w:hanging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bookmarkStart w:id="5" w:name="_Hlk134671303"/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III. ŚWIAT I POLSKA W LATACH 1991–2001</w:t>
            </w:r>
            <w:bookmarkEnd w:id="5"/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20. Nowy ład światowy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działania Stanów Zjednoczonych zmierzające do utrzymania ładu na świecie w końcu XX 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globalizacji w gospodarce;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Pustynna Burza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globalizacja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George Bush, Saddam Husajn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koncepcje świata w końcu XX w. i ich autorów;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na czym polega proces globalizacji;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politykę Stanów Zjednoczonych na Bliskim Wschodzie;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koniec historii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zderzenie cywilizacji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globalna wioska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Francis Fukuyama, Samuel Huntington, Zbigniew Brzeziński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wskazuje różnice pomiędzy koncepcjami świata w końcu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proces globalizacji w różnych dziedzinach życia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można określić Stany Zjednoczone jako żandarma ładu na świecie w końcu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w jaki sposób ZSRS usiłował utrzymać wpływy na świecie;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Michaił Gorbaczow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która z koncepcji świata w końcu XX w. okazała się najbliższa rzeczywistości i uzasadnia swoje stanowisko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21. Blaski i cienie zmian na świecie na przełomie tysiącleci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najważniejsze konflikty zbrojne na przełomie XX i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różnice pomiędzy globalną Północą a globalnym Południem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najważniejsze przyczyny konfliktów zbrojnych na przełomie XX i 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upadku apartheidu w RPA;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apartheid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bantustany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kern w:val="0"/>
                <w:lang w:val="pl-PL" w:eastAsia="en-US" w:bidi="ar-SA"/>
              </w:rPr>
              <w:t>wie, kim były wymienione postacie, oraz przedstawia ich historyczną rolę: Nelson Mandela, Frederik de Klerk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kern w:val="0"/>
                <w:lang w:val="pl-PL" w:eastAsia="en-US" w:bidi="ar-SA"/>
              </w:rPr>
              <w:t>wyjaśnia przyczyny konfliktów zbrojnych na przełomie XX i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podziału świata na globalną Północ i globalne Południe;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konfliktu w Rwandzie;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konflikt Północ–Południe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konfliktów religijnych na świecie na przełomie XX i 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sytuację w Afryce na przełomie XX i XXI w.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78" w:leader="none"/>
              </w:tabs>
              <w:spacing w:lineRule="auto" w:line="240" w:before="0" w:after="0"/>
              <w:ind w:left="36" w:hanging="0"/>
              <w:contextualSpacing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przedstawia i ocenia rolę wojsk ONZ w czasie konfliktu w Rwandzie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22. Integracja europejska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dokumenty tworzące Unię Europejską i ich najważniejsze postanowienia;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państwa strefy euro;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pokazuje na mapie proces rozszerzania się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Jednolity Akt Europejski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traktat z Maastricht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Unia Europejska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traktat nicejski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traktat lizboński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strefa euro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kryteria przyjmowania nowych państw do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płaszczyzny współpracy między krajami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państwa strefy Schengen;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kryteria kopenhaskie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strefa Schengen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zakres współpracy pomiędzy państwami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wskazuje różnice pomiędzy poszczególnymi dokumentami tworzącymi podstawy prawne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znaczenie strefy Schengen i strefy euro;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współpracę Unii Europejskiej z Norwegią i wyjaśnia jej stosunek do Unii Europejskiej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strefa Schengen i strefa euro nie pokrywa się z krajami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rozszerzania zakresu współpracy pomiędzy państwami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współpracę Unii Europejskiej ze Szwajcarią i wyjaśnia stosunek Szwajcarii do Unii Europejskiej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znaczenie Jednolitego Aktu Europejskiego i traktatu z Maastricht;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został zawarty traktat lizboński;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Finlandia starała się o członkostwo w Unii Europejskiej dopiero w latach 90. XX w.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23. Polska droga do demokracji 1991–2005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najważniejsze partie w Polsce po 1990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zmiany ustrojowe, które wprowadziła Mała Konstytucja;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reformy rządu Jerzego Buzka;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Sojusz Lewicy Demokratycznej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Unia Demokratyczna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Mała Konstytucja</w:t>
            </w:r>
            <w:r>
              <w:rPr>
                <w:kern w:val="0"/>
                <w:lang w:val="pl-PL" w:eastAsia="en-US" w:bidi="ar-SA"/>
              </w:rPr>
              <w:t xml:space="preserve">;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jest Jerzy Buzek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ruchy polityczne w Polsce po 1990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zmian na polskiej scenie politycznej po 1990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jak chciano zapobiec rozdrobnieniu politycznemu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podstawy prawne, na których opierają się relacje między państwem polskim a kościołami i związkami wyznaniowymi;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Bezpartyjny Blok Wspierania Reform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konkordat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próg wyborczy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zmian rządów po 1990 r.;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przebieg prac nad nową konstytucją;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reformy rządu Jerzego Buzka;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stosunki wyznaniowe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recesja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lustracja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Jan K. Bielecki, Aleksander Kwaśniewski, Leszek Miller, Jan Olszewski, Antoni Macierewicz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reformy rządu Jerzego Buzka spełniły oczekiwania Polaków;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podpisania i ratyfikowania konkordatu;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stabilność polskiej sceny politycznej i jej wpływ na funkcjonowanie państwa;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jest Hanna Suchocka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relacje między rządem a Prezydentem w Polsce w latach 1991–2005;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funkcjonowanie rządów w Polsce w latach 1991–2005, przywołując ich sukcesy i porażki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24. III Rzeczpospolita – konstytucyjne zasady ustrojowe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zasady ustrojowe zawarte w konstytucji polskiej;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prawa i obowiązki obywatela zawarte w konstytucji;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władzy ustawodawczej i ich dwie kompetencje;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władzy wykonawczej i ich dwie kompetencje;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zasada suwerenności narodu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zasada trójpodziału władzy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zasady ustrojowe zawarte w konstytucji polskiej;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na czym polegają prawa i obowiązki obywatela zawarte w konstytucji;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kompetencje organów władzy ustawodawczej;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podstawowe kompetencje organów władzy wykonawczej;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zasady sadownictwa w 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zasada demokratycznego państwa prawa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zasada pluralizmu politycznego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zasada niezawisłości sędziów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uprawnienia władzy ustawodawczej i wykonawczej w Polsce z zastosowaniem podziału tych uprawnień;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wymienia etapy procesu legislacyjnego;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strukturę sądownictwa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zasady sadownictwa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uprawnienia Trybunału Konstytucyjnego i Trybunału Stanu;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preambuła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proces legislacyjny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Trybunał Konstytucyjny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Trybunał Stanu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wzajemne zależności między organami władzy wykonawczej i ustawodawczej oraz podaje przykłady ich zastosowania;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zasady sądownictwa w Polsce;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pozycję Trybunału Konstytucyjnego i Trybunału Stanu w polskim systemie ustrojowym;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konstruktywne votum nieufności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wskazuje różnice w procesie legislacyjnym w zależności od typu ustawy (np. ustawa zwykła i ustawa budżetowa);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skuteczność funkcjonowania Trybunału Stanu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25. Rzeczpospolita samorządna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władzy samorządu gminnego i sposób ich powoływania;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przykładowe kompetencje organów samorządu gminnego;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samorząd terytorialny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domniemanie kompetencji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zadania własne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zadania zlecone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gmina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burmistrz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wójt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władzy samorządu powiatowego i sposób ich powoływania;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przykładowe kompetencje organów samorządu powiatowego;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powiat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starosta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władzy samorządu wojewódzkiego i sposób ich powoływania;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przykładowe kompetencje organów samorządu wojewódzkiego;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źródła finansowania jednostek samorządu terytorialnego;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subwencja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dotacja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marszałek sejmiku wojewódzkiego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sejmik województwa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podstawy prawne i zasady funkcjonowania samorządu terytorialnego;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na jakie zadania jednostki samorządu terytorialnego mogą mieć różne źródła finansowania;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decentralizacja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zasada pomocniczości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proces odwoławczy od decyzji jednostek samorządu terytorialnego;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podejmowane przez samorząd swojej gminy, powiatu i województwa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26. System prawny współczesnej Polski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podmioty i zakres spraw, które obejmuje prawo cywilne;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sprawy pomiędzy członkami rodziny, które są regulowane prawem rodzinnym;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norma prawna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osoba fizyczna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osoba prawna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zdolność prawna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zdolność</w:t>
            </w: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i/>
                <w:iCs/>
                <w:kern w:val="0"/>
                <w:lang w:val="pl-PL" w:eastAsia="en-US" w:bidi="ar-SA"/>
              </w:rPr>
              <w:t>do czynności prawnych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różnice pomiędzy prawem naturalnym a prawem stanowionym;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podmioty i zakres spraw, które obejmuje prawo cywilne;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najważniejsze zapisy prawa karnego;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własność,</w:t>
            </w: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i/>
                <w:iCs/>
                <w:kern w:val="0"/>
                <w:lang w:val="pl-PL" w:eastAsia="en-US" w:bidi="ar-SA"/>
              </w:rPr>
              <w:t>służebność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hipoteka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wykroczenie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występek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zbrodnia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odpowiedzialność karna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rozumie podstawowe terminy związane z naukami prawnymi;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sprawy pomiędzy członkami rodziny, które są regulowane prawem rodzinnym;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najważniejsze zapisy prawa karnego;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przysposobienie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obowiązek alimentacyjny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relacje między organami władzy albo organami władzy a obywatelami, które reguluje prawo administracyjne;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różnicę między wykroczeniem, występkiem i zbrodnią;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odwołanie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wniosek o ponowne rozpatrzenie sprawy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różnicę między prawem materialnym a procesowym;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analizuje przykładowe pisma z zakresu prawa cywilnego, karnego i administracyjnego (np. pozew, zawiadomienie o popełnieniu przestępstwa, decyzję administracyjną)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27. Prawa człowieka oraz ich ochrona w Polsce i na świecie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definiuje prawa człowieka, wymieniając ich cechy;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prawa człowieka, przyporządkowując je do odpowiednich generacji;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polskie dokumenty, w których zawarte są prawa człowieka;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polskie instytucje zajmujące się ochroną praw człowieka i wyjaśnia, w jaki sposób je chronią;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prawa człowieka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trzy generacje praw człowieka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Rzecznik Praw Obywatelskich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kern w:val="0"/>
                <w:lang w:val="pl-PL" w:eastAsia="en-US" w:bidi="ar-SA"/>
              </w:rPr>
              <w:t>omawia cechy praw człowieka;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trzy generacje praw człowieka;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dokumenty chroniące prawa człowieka w Europie;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europejskie instytucje zajmujące się ochroną praw człowieka i wyjaśnia, w jaki sposób je chronią;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Europejska konwencja o ochronie praw człowieka i podstawowych wolności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Europejski Trybunał Praw Człowieka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kształtowania się praw człowieka po II wojnie światowej;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dokumenty chroniące prawa człowieka na świecie;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ONZ, zajmujące się ochroną praw człowieka i wyjaśnia, w jaki sposób je chronią;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Powszechna Deklaracja Praw Człowieka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Rada Praw Człowieka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Wysoki Komisarz Narodów Zjednoczonych ds. Praw Człowieka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Międzynarodowy Trybunał Karny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była Eleanor Roosevelt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kształtowania się praw człowieka do II wojny światowej;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zawartość i rolę dokumentów chroniących prawa człowieka;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postępowania obywatela polskiego, który oskarża instytucje państwowe o złamanie praw człowieka (rozpatruje wszystkie możliwości odwoławcze);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które prawa człowieka i w jakich okolicznościach mogą być ograniczone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które prawa człowieka są negatywne, a które pozytywne;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w przypadku których praw człowieka obywatel może dochodzić swych praw;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skuteczność decyzji lub wyroków różnych instytucji chroniących prawa człowieka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28. Rozliczenie dziedzictwa PRL po 1989 r.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sposoby upamiętnienia żołnierzy podziemia niepodległościowego i osób represjonowanych w okresie PRL-u;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rehabilitacja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podejmowane przez polskie władze w celu rozliczenia postępowania władz PRL-u;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było trudno uzyskać wyroki skazujące w procesach autorów stanu wojennego i w sprawie użycia broni w kopalni „Wujek”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różne formy działalności Instytutu Pamięci Narodowej;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Instytut Pamięci Narodowej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Rzecznik Interesu Publicznego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status osoby pokrzywdzonej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problemy związane z przeprowadzeniem procesu lustracji;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kłamstwo lustracyjne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proces rozliczenia władz komunistycznych w Polsce z podobnymi procesami w innych były państwach komunistycznych;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można było proces dekomunizacji przeprowadzić lepiej i uzasadnia swoje stanowisko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29. Polska droga do NATO i Unii Europejskiej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etapy przystąpienia Polski do NATO 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podaje przykładowe przyczyny, dlaczego Polsce zależało na członkostwie w NATO 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traktat akcesyjny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etapy przystąpienia Polski do NATO 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Polsce zależało na członkostwie w NATO 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Partnerstwo dla Pokoju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współpracę Polski z innymi krajami regionu w celu wstąpienia do NATO i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relacje polsko-niemieckie w latach 90.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Trójkąt Weimarski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Trójkąt Wyszehradzki / Grupa Wyszehradzka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stosunki polsko-rosyjskiej w latach 90. XX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aktywność Polski w rejonie Europy Środkowej w latach 90. XX 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jakie czynniki wpływały na relacje Polski z innymi państwami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Polaków w ramach Partnerstwa dla Pokoju;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argumenty euroentuzjastów i eurosceptyków w czasie starania się Polski o członkostwo w Unii Europejskiej</w:t>
            </w:r>
          </w:p>
        </w:tc>
      </w:tr>
      <w:tr>
        <w:trPr>
          <w:trHeight w:val="397" w:hRule="atLeast"/>
        </w:trPr>
        <w:tc>
          <w:tcPr>
            <w:tcW w:w="14307" w:type="dxa"/>
            <w:gridSpan w:val="6"/>
            <w:tcBorders/>
            <w:shd w:color="auto" w:fill="8DB3E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80" w:hanging="0"/>
              <w:jc w:val="center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>IV. ŚWIAT I POLSKA W PIERWSZYCH DWÓCH DEKADACH XXI W.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30. Świat na początku XXI w.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czynniki, które wpływają na pozycję Chin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skutki globalizacji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pozycję Chin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skutki globalizacji;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sposoby radzenia sobie z pandemią COVID-19;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COVID-19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SARS-CoV-2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pandemia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sytuację w Korei Północnej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skutki Arabskiej Wiosny;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sposoby radzenia sobie z pandemią COVID-19;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Arabska Wiosna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skutki kryzysu finansowego z 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Arabskiej Wiosny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skutki pandemii COVID-19 dla życia społecznego;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wpływ Arabskiej Wiosny na stabilizację w rejonie Bliskiego Wschodu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31. Wojna z terroryzmem w XXI w.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różne nurty terroryzmu w XXI w.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zamachy terrorystyczne w XXI w. i ich konsekwencje;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terroryzm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World Trade Center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różne nurty terroryzmu w XXI w.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interwencję wojsk koalicji w Afganistanie;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</w:p>
          <w:p>
            <w:pPr>
              <w:pStyle w:val="Styl1"/>
              <w:widowControl/>
              <w:numPr>
                <w:ilvl w:val="0"/>
                <w:numId w:val="0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i/>
                <w:iCs/>
                <w:kern w:val="0"/>
                <w:lang w:val="pl-PL" w:eastAsia="en-US" w:bidi="ar-SA"/>
              </w:rPr>
              <w:t>Al-Kaida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talibowie</w:t>
            </w:r>
            <w:r>
              <w:rPr>
                <w:kern w:val="0"/>
                <w:lang w:val="pl-PL" w:eastAsia="en-US" w:bidi="ar-SA"/>
              </w:rPr>
              <w:t xml:space="preserve">,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Osama bin Laden, George W. Bush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interwencję wojsk koalicji w Iraku;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działalność Państwa Islamskiego;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znaczenie Stanów Zjednoczonych w wojnie z terroryzmem;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szariat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Państwo Islamskie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udział Polaków w walkach w Afganistanie i Iraku;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związek między zamachami terrorystycznymi w Europie a wojną z terroryzmem na Bliskim Wschodzie;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skutki wojny z terroryzmem dla państw muzułmańskich, Stanów Zjednoczonych i Europy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skuteczność interwencji wojsk koalicji w Afganistanie i Iraku;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rolę i dążenia Kurdów w trakcie wojny z terroryzmem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32. Unia Europejska w XXI w.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organy władzy Unii Europejskiej i ich przykładowe uprawnienia;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przyczyny i skutki kryzysu migracyjnego w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działania Unii Europejskiej wobec pandemii COVID-19;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Przewodniczący Rady Europejskiej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Wysoki Przedstawiciel Unii ds. Zagranicznych i Polityki Bezpieczeństwa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lockdown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dokumenty unijne zawarte na początku XXI w. i ich główne założenia;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kryzysu migracyjnego w 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politykę Unii Europejskiej wobec pandemii COVID-19;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Karta Praw Podstawowych Unii Europejskiej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traktat nicejski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traktat lizboński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tarcza antykryzysowa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koncepcje integracji Europy;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postawy państw Unii Europejskiej wobec kryzysu migracyjnego;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i skutki wystąpienia Wielkiej Brytanii z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Stany Zjednoczone Europy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Europa Ojczyzn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Europa wielu prędkości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koncepcje integracji Europy;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przyczyny i skutki wystąpienia Wielkiej Brytanii z Unii Europejskiej;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politykę Unii Europejskiej wobec pandemii COVID-19;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wpływ problemów, z którymi mierzy się Unia Europejska, na jej funkcjonowanie i pozycję w niej poszczególnych państw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koncepcje integracji europejskiej pod kątem korzyści, które niosą one ze sobą dla poszczególnych grup państw członkowski;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możliwości działania obywateli państw członkowskich w ramach Unii Europejskiej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33. Rosja i jej ekspansja w XXI w.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i skutki wojny w Czeczenii;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i skutki konfliktu w Gruzji;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wojny w Ukrainie;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Euromajdan</w:t>
            </w:r>
            <w:r>
              <w:rPr>
                <w:kern w:val="0"/>
                <w:lang w:val="pl-PL" w:eastAsia="en-US" w:bidi="ar-SA"/>
              </w:rPr>
              <w:t xml:space="preserve">;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są wymienione postacie, oraz przedstawia ich polityczną rolę: Władimir Putin, Wołodymyr Zełenski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omawia sytuację w Gruzji;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przebieg wojny w Ukrainie;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historyczną rolę: Dżochar Dudajew, Achmat Kadyrow, Ramzan Kadyrow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przedstawia, w jaki sposób przywódcy Rosji dążą do wzmocnienia władzy;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proces aneksji Krymu;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przedstawia stosunek państw środkowoeuropejskich do polityki rosyjskiej na Kaukazie i Ukrainie;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różne formy prowadzenia wojny przez Rosję;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pojęcia; </w:t>
            </w:r>
            <w:r>
              <w:rPr>
                <w:i/>
                <w:iCs/>
                <w:kern w:val="0"/>
                <w:lang w:val="pl-PL" w:eastAsia="en-US" w:bidi="ar-SA"/>
              </w:rPr>
              <w:t>„zielone ludziki”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wojna hybrydowa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szantaż gazowy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 Borys Jelcyn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możliwości działania opozycji w Rosji;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wpływ różnych form prowadzenia wojny przez Rosję na sytuację w Europie;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od czego zależy polityka Rosji wobec Ukrainy;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stosunek państw zachodnioeuropejskich i Stanów Zjednoczonych do polityki rosyjskiej na Kaukazie i Ukrainie;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kolonia karna</w:t>
            </w:r>
            <w:r>
              <w:rPr>
                <w:kern w:val="0"/>
                <w:lang w:val="pl-PL" w:eastAsia="en-US" w:bidi="ar-SA"/>
              </w:rPr>
              <w:t xml:space="preserve">; 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jest Wiktor Janukowycz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działalność „Memoriału” jako organizacji opozycyjnej w Rosji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34. Polska na początku XXI w.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sukcesy i porażki poszczególnych rządów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główne partie polityczne działające w Polsce na początku XXI 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Platforma Obywatelska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Prawo i Sprawiedliwość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Zjednoczona Prawica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główne założenia poszczególnych rządów w polityce wewnętrznej i zagranicznej;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zmian rządów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postkomunizm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kohabitacja polityczna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dług publiczny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kern w:val="0"/>
                <w:lang w:val="pl-PL" w:eastAsia="en-US" w:bidi="ar-SA"/>
              </w:rPr>
              <w:t>wie, kim są wymienione postacie, oraz przedstawia ich polityczną rolę: Kazimierz Marcinkiewicz, Bronisław Komorowski, Andrzej Duda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polską scenę polityczną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zmian rządów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Liga Polskich Rodzin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Samoobrona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katastrofa smoleńska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/ są wymienione postacie, oraz przedstawia ich polityczną rolę: Donald Tusk, Andrzej Lepper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jak afery, do których dochodziło za poszczególnych rządów, wpływały na ich ocenę przez społeczeństwo;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realizację założeń poszczególnych rządów w polityce wewnętrznej i zagranicznej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wybranego przez siebie rządu z początku XXI w. w polityce wewnętrznej i zagranicznej oraz ocenia je pod kątem rozwoju wewnętrznego Polski i jej racji stanu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35. Polonia i Polacy na świecie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pokazuje na mapie skupiska Polaków i Polonii po II wojnie światowej;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emigracji z Polski po II wojnie światowej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instytucje polskie działające na emigracji;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znaczenie organizacji tworzonych przez Polaków na emigracji dla podtrzymywania polskości i rozwoju kultury polskiej;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Instytut Polski i Muzeum im. gen. Sikorskiego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Instytut Józefa Piłsudskiego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Maisons-Laffitte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Rozgłośnia Polska Radia Wolna Europa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Jerzy Giedroyć, Jan Nowak Jeziorański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rolę, jaką odgrywały instytucje emigracyjne po II wojnie światowej;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podstawy prawne i możliwości działania polskich władz emigracyjnych;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depozytariusz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miesięcznik „Kultura”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kim były wymienione postacie, oraz przedstawia ich historyczną rolę: Edward Raczyński, August Zaleski, Ryszard Kaczorowski, Władysław Anders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sytuację Polaków w ZSRS i byłych republikach radzieckich;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w jaki sposób rząd polski wspiera Polaków na terenie byłego ZSRS;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Karta Polaka</w:t>
            </w:r>
            <w:r>
              <w:rPr>
                <w:kern w:val="0"/>
                <w:lang w:val="pl-PL" w:eastAsia="en-US" w:bidi="ar-SA"/>
              </w:rPr>
              <w:t>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wie, jest Andżelika Borys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organizacji polonijnych funkcjonujących w różnych państwach (np. Kongres Polonii Amerykańskiej w Stanach Zjednoczonych czy Związek Polaków w Niemczech)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36. Zmiany kulturowe w świecie końca XX w. i początku XXI w.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zalety i wady polityki wielokulturowości;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główne płaszczyzny współczesnych sporów światopoglądowych;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polityka wielokulturowości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zalety i wady polityki wielokulturowości;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znaczenie dziedzictwa kulturalnego dla współczesnej kultury;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segregacja rasowa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dziedzictwo kulturowe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założenia polityki wielokulturowości;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jakie znaczenie ma obecnie postawa tolerancji i w czym się ona przejawia;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poprawność polityczna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asymilacja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tolerancja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dyskryminacja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korzyści i zagrożenia płynące z polityki wielokulturowości;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porównuje główne argumenty współczesnych sporów światopoglądowych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w jaki sposób zmiany kulturowe końca XX i początku XXI w. znajdują odzwierciedlenie w tekstach kultury z tego okresu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37. Społeczeństwo cyfrowe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zna definicję społeczeństwa cyfrowego / społeczeństwa informacyjnego;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korzyści i zagrożenia wynikające z komunikacji cyfrowej dla jednostki;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społeczeństwo cyfrowe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społeczeństwo informacyjne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rozwoju komunikacji cyfrowej;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korzyści i zagrożenia wynikające z komunikacji cyfrowej dla jednostki;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siecioholizm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fake newsy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wpływ rozwoju usług cyfrowych na gospodarkę, edukację;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korzyści i zagrożenia wynikające z komunikacji cyfrowej dla społeczeństwa;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wykluczenie cyfrowe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dezinformacja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bańka filtrująca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wpływ rozwoju usług cyfrowych na kulturę;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w jaki sposób można nadużywać wolności słowa w Internecie, i przedstawia działania zapobiegające temu zjawisku;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pojęcie </w:t>
            </w:r>
            <w:r>
              <w:rPr>
                <w:i/>
                <w:iCs/>
                <w:kern w:val="0"/>
                <w:lang w:val="pl-PL" w:eastAsia="en-US" w:bidi="ar-SA"/>
              </w:rPr>
              <w:t>netykieta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ocenia, czy we współczesnym świecie można funkcjonować bez korzystania z mediów społecznościowych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38. Media jako czwarta władza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typy komunikacji społecznej;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środki masowego przekazu;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komunikacja społeczna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mass media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zasady, na których opiera się komunikacja społeczna;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funkcje środków masowego przekazu;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prawa mediów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zasady, na których opiera się komunikacja społeczna;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funkcje środków masowego przekazu;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obowiązki mediów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wyjaśnia, dlaczego środki masowego przekazu określa się jako czwartą władzę;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prawa i obowiązki pracowników mediów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podaje przykłady pełnienia przez media funkcji czwartej władzy na podstawie publicystyki, literatury czy filmu</w:t>
            </w:r>
          </w:p>
        </w:tc>
      </w:tr>
      <w:tr>
        <w:trPr>
          <w:trHeight w:val="397" w:hRule="atLeast"/>
        </w:trPr>
        <w:tc>
          <w:tcPr>
            <w:tcW w:w="171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39. Nasza przyszłość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działania Polski w polityce zagranicznej;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przykładowe działania wojsk polskich w ramach NATO;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przyczyny kryzysu demograficznego;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wymienia zmiany klimatyczne zachodzące na świecie;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kryzys demograficzny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ocieplenie klimatu</w:t>
            </w:r>
          </w:p>
        </w:tc>
        <w:tc>
          <w:tcPr>
            <w:tcW w:w="2519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Polski w polityce zagranicznej;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działania wojsk polskich w ramach NATO;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sposoby przezwyciężenia kryzysu demograficznego;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zmiany klimatyczne zachodzące na świecie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dorobek Polski w końcu XX i na początku XXI 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wyjaśnia przyczyny kryzysu demograficznego;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przedstawia podejmowane przez państwa próby zahamowania zachodzących zmian klimatycznych;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 xml:space="preserve">zna i wyjaśnia pojęcia: </w:t>
            </w:r>
            <w:r>
              <w:rPr>
                <w:i/>
                <w:iCs/>
                <w:kern w:val="0"/>
                <w:lang w:val="pl-PL" w:eastAsia="en-US" w:bidi="ar-SA"/>
              </w:rPr>
              <w:t>geopolityka</w:t>
            </w:r>
            <w:r>
              <w:rPr>
                <w:kern w:val="0"/>
                <w:lang w:val="pl-PL" w:eastAsia="en-US" w:bidi="ar-SA"/>
              </w:rPr>
              <w:t xml:space="preserve">, </w:t>
            </w:r>
            <w:r>
              <w:rPr>
                <w:i/>
                <w:iCs/>
                <w:kern w:val="0"/>
                <w:lang w:val="pl-PL" w:eastAsia="en-US" w:bidi="ar-SA"/>
              </w:rPr>
              <w:t>protokół z Kioto</w:t>
            </w:r>
          </w:p>
        </w:tc>
        <w:tc>
          <w:tcPr>
            <w:tcW w:w="2518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dorobek Polski w końcu XX i na początku XXI w.;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charakteryzuje działania podjęte przez Polskę w celu zapewnienia bezpieczeństwa energetycznego;</w:t>
            </w:r>
          </w:p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ocenia skuteczność podejmowanych przez państwa prób zahamowania zachodzących zmian klimatycznych</w:t>
            </w:r>
          </w:p>
        </w:tc>
        <w:tc>
          <w:tcPr>
            <w:tcW w:w="2515" w:type="dxa"/>
            <w:tcBorders/>
          </w:tcPr>
          <w:p>
            <w:pPr>
              <w:pStyle w:val="Styl1"/>
              <w:widowControl/>
              <w:numPr>
                <w:ilvl w:val="0"/>
                <w:numId w:val="1"/>
              </w:numPr>
              <w:spacing w:before="0" w:after="0"/>
              <w:ind w:left="36" w:hanging="0"/>
              <w:contextualSpacing/>
              <w:jc w:val="left"/>
              <w:rPr>
                <w:kern w:val="0"/>
                <w:lang w:val="pl-PL" w:eastAsia="en-US" w:bidi="ar-SA"/>
              </w:rPr>
            </w:pPr>
            <w:bookmarkStart w:id="6" w:name="_Hlk134670750"/>
            <w:r>
              <w:rPr>
                <w:kern w:val="0"/>
                <w:lang w:val="pl-PL" w:eastAsia="en-US" w:bidi="ar-SA"/>
              </w:rPr>
              <w:t>przedstawia działania zmierzające do rozwiązania problemów przedstawionych w rozdziale (demografia, zmiany klimatyczne) w swoim regionie</w:t>
            </w:r>
            <w:bookmarkEnd w:id="6"/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Przykładowe w</w:t>
      </w:r>
      <w:r>
        <w:rPr>
          <w:sz w:val="16"/>
          <w:szCs w:val="16"/>
        </w:rPr>
        <w:t>ymagania związane z oceną pracy ucznia ze źródłami historycznymi znajdują się na końcu PSO do części 1.</w:t>
      </w:r>
    </w:p>
    <w:p>
      <w:pPr>
        <w:pStyle w:val="Przypisdolny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Przypisdolny"/>
        <w:rPr>
          <w:sz w:val="2"/>
          <w:szCs w:val="2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>
        <w:i/>
        <w:i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1"/>
    <w:uiPriority w:val="9"/>
    <w:qFormat/>
    <w:rsid w:val="001430d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430d7"/>
    <w:pPr>
      <w:keepNext w:val="true"/>
      <w:keepLines/>
      <w:spacing w:before="40" w:after="0"/>
      <w:outlineLvl w:val="1"/>
    </w:pPr>
    <w:rPr>
      <w:rFonts w:ascii="Calibri Light" w:hAnsi="Calibri Light" w:eastAsia="Times New Roman" w:cs="Times New Roman"/>
      <w:color w:val="2F5496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430d7"/>
    <w:pPr>
      <w:keepNext w:val="true"/>
      <w:keepLines/>
      <w:spacing w:before="40" w:after="0"/>
      <w:outlineLvl w:val="2"/>
    </w:pPr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b5633f"/>
    <w:rPr>
      <w:color w:val="800080" w:themeColor="followedHyperlink"/>
      <w:u w:val="single"/>
    </w:rPr>
  </w:style>
  <w:style w:type="character" w:styleId="Nagwek1Znak" w:customStyle="1">
    <w:name w:val="Nagłówek 1 Znak"/>
    <w:basedOn w:val="DefaultParagraphFont"/>
    <w:link w:val="Nagwek11"/>
    <w:uiPriority w:val="9"/>
    <w:qFormat/>
    <w:rsid w:val="001430d7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1430d7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1430d7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Cf01" w:customStyle="1">
    <w:name w:val="cf01"/>
    <w:basedOn w:val="DefaultParagraphFont"/>
    <w:qFormat/>
    <w:rsid w:val="001430d7"/>
    <w:rPr>
      <w:rFonts w:ascii="Segoe UI" w:hAnsi="Segoe UI" w:cs="Segoe UI"/>
      <w:b/>
      <w:bCs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430d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430d7"/>
    <w:rPr>
      <w:vertAlign w:val="superscript"/>
    </w:rPr>
  </w:style>
  <w:style w:type="character" w:styleId="Nagwek1Znak1" w:customStyle="1">
    <w:name w:val="Nagłówek 1 Znak1"/>
    <w:basedOn w:val="DefaultParagraphFont"/>
    <w:uiPriority w:val="9"/>
    <w:qFormat/>
    <w:rsid w:val="001430d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Hipercze1" w:customStyle="1">
    <w:name w:val="Hiperłącze1"/>
    <w:basedOn w:val="DefaultParagraphFont"/>
    <w:uiPriority w:val="99"/>
    <w:unhideWhenUsed/>
    <w:qFormat/>
    <w:rsid w:val="001430d7"/>
    <w:rPr>
      <w:color w:val="0563C1"/>
      <w:u w:val="single"/>
    </w:rPr>
  </w:style>
  <w:style w:type="character" w:styleId="Nagwek2Znak1" w:customStyle="1">
    <w:name w:val="Nagłówek 2 Znak1"/>
    <w:basedOn w:val="DefaultParagraphFont"/>
    <w:uiPriority w:val="9"/>
    <w:semiHidden/>
    <w:qFormat/>
    <w:rsid w:val="001430d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1" w:customStyle="1">
    <w:name w:val="Nagłówek 3 Znak1"/>
    <w:basedOn w:val="DefaultParagraphFont"/>
    <w:uiPriority w:val="9"/>
    <w:semiHidden/>
    <w:qFormat/>
    <w:rsid w:val="001430d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1430d7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0e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30eb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30eb0"/>
    <w:rPr>
      <w:b/>
      <w:bCs/>
      <w:sz w:val="20"/>
      <w:szCs w:val="20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3c23e7"/>
    <w:rPr/>
  </w:style>
  <w:style w:type="character" w:styleId="Styl1Znak" w:customStyle="1">
    <w:name w:val="Styl1 Znak"/>
    <w:basedOn w:val="AkapitzlistZnak"/>
    <w:link w:val="Styl1"/>
    <w:qFormat/>
    <w:rsid w:val="003c23e7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1430d7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gwek21" w:customStyle="1">
    <w:name w:val="Nagłówek 21"/>
    <w:basedOn w:val="Normal"/>
    <w:next w:val="Normal"/>
    <w:uiPriority w:val="9"/>
    <w:unhideWhenUsed/>
    <w:qFormat/>
    <w:rsid w:val="001430d7"/>
    <w:pPr>
      <w:keepNext w:val="true"/>
      <w:keepLines/>
      <w:spacing w:lineRule="auto" w:line="259" w:before="40" w:after="0"/>
      <w:outlineLvl w:val="1"/>
    </w:pPr>
    <w:rPr>
      <w:rFonts w:ascii="Calibri Light" w:hAnsi="Calibri Light" w:eastAsia="Times New Roman" w:cs="Times New Roman"/>
      <w:color w:val="2F5496"/>
      <w:sz w:val="26"/>
      <w:szCs w:val="26"/>
    </w:rPr>
  </w:style>
  <w:style w:type="paragraph" w:styleId="Nagwek31" w:customStyle="1">
    <w:name w:val="Nagłówek 31"/>
    <w:basedOn w:val="Normal"/>
    <w:next w:val="Normal"/>
    <w:uiPriority w:val="9"/>
    <w:unhideWhenUsed/>
    <w:qFormat/>
    <w:rsid w:val="001430d7"/>
    <w:pPr>
      <w:keepNext w:val="true"/>
      <w:keepLines/>
      <w:spacing w:lineRule="auto" w:line="259" w:before="40" w:after="0"/>
      <w:outlineLvl w:val="2"/>
    </w:pPr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NoSpacing">
    <w:name w:val="No Spacing"/>
    <w:uiPriority w:val="1"/>
    <w:qFormat/>
    <w:rsid w:val="001430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1430d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1430d7"/>
    <w:pPr>
      <w:spacing w:lineRule="auto" w:line="240" w:before="0" w:after="0"/>
    </w:pPr>
    <w:rPr>
      <w:sz w:val="20"/>
      <w:szCs w:val="20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1430d7"/>
    <w:pPr>
      <w:spacing w:lineRule="auto" w:line="259"/>
      <w:outlineLvl w:val="9"/>
    </w:pPr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1430d7"/>
    <w:pPr>
      <w:spacing w:lineRule="auto" w:line="259" w:before="0" w:after="100"/>
    </w:pPr>
    <w:rPr/>
  </w:style>
  <w:style w:type="paragraph" w:styleId="Spistreci2">
    <w:name w:val="TOC 2"/>
    <w:basedOn w:val="Normal"/>
    <w:next w:val="Normal"/>
    <w:autoRedefine/>
    <w:uiPriority w:val="39"/>
    <w:unhideWhenUsed/>
    <w:rsid w:val="001430d7"/>
    <w:pPr>
      <w:spacing w:lineRule="auto" w:line="259" w:before="0" w:after="100"/>
      <w:ind w:left="220" w:hanging="0"/>
    </w:pPr>
    <w:rPr/>
  </w:style>
  <w:style w:type="paragraph" w:styleId="Spistreci3">
    <w:name w:val="TOC 3"/>
    <w:basedOn w:val="Normal"/>
    <w:next w:val="Normal"/>
    <w:autoRedefine/>
    <w:uiPriority w:val="39"/>
    <w:unhideWhenUsed/>
    <w:rsid w:val="001430d7"/>
    <w:pPr>
      <w:spacing w:lineRule="auto" w:line="259" w:before="0" w:after="100"/>
      <w:ind w:left="440" w:hanging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30e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30eb0"/>
    <w:pPr/>
    <w:rPr>
      <w:b/>
      <w:bCs/>
    </w:rPr>
  </w:style>
  <w:style w:type="paragraph" w:styleId="Revision">
    <w:name w:val="Revision"/>
    <w:uiPriority w:val="99"/>
    <w:semiHidden/>
    <w:qFormat/>
    <w:rsid w:val="00b57a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1" w:customStyle="1">
    <w:name w:val="Styl1"/>
    <w:basedOn w:val="ListParagraph"/>
    <w:link w:val="Styl1Znak"/>
    <w:qFormat/>
    <w:rsid w:val="003c23e7"/>
    <w:pPr>
      <w:numPr>
        <w:ilvl w:val="0"/>
        <w:numId w:val="1"/>
      </w:numPr>
      <w:tabs>
        <w:tab w:val="clear" w:pos="708"/>
        <w:tab w:val="left" w:pos="178" w:leader="none"/>
      </w:tabs>
      <w:spacing w:lineRule="auto" w:line="240" w:before="0" w:after="0"/>
      <w:ind w:left="36" w:hanging="0"/>
      <w:contextualSpacing/>
    </w:pPr>
    <w:rPr>
      <w:rFonts w:ascii="Calibri" w:hAnsi="Calibri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43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20</Pages>
  <Words>7768</Words>
  <Characters>48481</Characters>
  <CharactersWithSpaces>54922</CharactersWithSpaces>
  <Paragraphs>723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2023-07-31T08:35:00Z</dcterms:created>
  <dc:creator>Marta Jedlinska</dc:creator>
  <dc:description/>
  <dc:language>pl-PL</dc:language>
  <cp:lastModifiedBy/>
  <cp:lastPrinted>2023-02-15T18:44:00Z</cp:lastPrinted>
  <dcterms:modified xsi:type="dcterms:W3CDTF">2023-11-17T14:24:42Z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